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D132A" w14:textId="77777777" w:rsidR="00843F88" w:rsidRDefault="00843F88" w:rsidP="00843F88">
      <w:pPr>
        <w:jc w:val="left"/>
        <w:rPr>
          <w:rFonts w:eastAsia="Times New Roman" w:cs="Arial"/>
          <w:b/>
          <w:bCs/>
          <w:iCs/>
          <w:noProof/>
          <w:sz w:val="28"/>
          <w:szCs w:val="28"/>
        </w:rPr>
      </w:pPr>
      <w:r w:rsidRPr="007D42F3">
        <w:rPr>
          <w:rFonts w:eastAsia="Times New Roman" w:cs="Arial"/>
          <w:b/>
          <w:bCs/>
          <w:iCs/>
          <w:noProof/>
          <w:sz w:val="28"/>
          <w:szCs w:val="28"/>
        </w:rPr>
        <w:t xml:space="preserve">Explanation of variances – pro forma </w:t>
      </w:r>
    </w:p>
    <w:p w14:paraId="49A4E68F" w14:textId="77777777" w:rsidR="00843F88" w:rsidRDefault="00843F88" w:rsidP="00843F88">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sz w:val="16"/>
          <w:szCs w:val="16"/>
        </w:rPr>
        <w:t>N</w:t>
      </w:r>
      <w:r w:rsidRPr="002866E8">
        <w:rPr>
          <w:rFonts w:eastAsia="Times New Roman" w:cs="Arial"/>
          <w:sz w:val="16"/>
          <w:szCs w:val="16"/>
        </w:rPr>
        <w:t>ame of smaller authority:</w:t>
      </w:r>
      <w:r>
        <w:rPr>
          <w:rFonts w:eastAsia="Times New Roman" w:cs="Arial"/>
          <w:b/>
          <w:sz w:val="16"/>
          <w:szCs w:val="16"/>
        </w:rPr>
        <w:t xml:space="preserve"> </w:t>
      </w:r>
      <w:r w:rsidRPr="00182F2E">
        <w:rPr>
          <w:rFonts w:eastAsia="Times New Roman" w:cs="Arial"/>
          <w:b/>
          <w:sz w:val="20"/>
          <w:szCs w:val="20"/>
          <w:u w:val="single"/>
        </w:rPr>
        <w:t>STOURTON CAUNDLE PARISH COUNCIL</w:t>
      </w:r>
    </w:p>
    <w:p w14:paraId="562DCD8C" w14:textId="77777777" w:rsidR="00843F88" w:rsidRDefault="00843F88" w:rsidP="00843F88">
      <w:pPr>
        <w:overflowPunct w:val="0"/>
        <w:autoSpaceDE w:val="0"/>
        <w:autoSpaceDN w:val="0"/>
        <w:adjustRightInd w:val="0"/>
        <w:spacing w:after="0" w:line="240" w:lineRule="auto"/>
        <w:textAlignment w:val="baseline"/>
        <w:rPr>
          <w:rFonts w:eastAsia="Times New Roman" w:cs="Arial"/>
          <w:sz w:val="16"/>
          <w:szCs w:val="16"/>
        </w:rPr>
      </w:pPr>
    </w:p>
    <w:p w14:paraId="36334648" w14:textId="77777777" w:rsidR="00843F88" w:rsidRPr="00BE1CD3" w:rsidRDefault="00843F88" w:rsidP="00843F88">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sz w:val="16"/>
          <w:szCs w:val="16"/>
        </w:rPr>
        <w:t>County area (local councils and parish meetings only</w:t>
      </w:r>
      <w:r w:rsidRPr="002866E8">
        <w:rPr>
          <w:rFonts w:eastAsia="Times New Roman" w:cs="Arial"/>
          <w:sz w:val="16"/>
          <w:szCs w:val="16"/>
        </w:rPr>
        <w:t>:</w:t>
      </w:r>
      <w:r>
        <w:rPr>
          <w:rFonts w:eastAsia="Times New Roman" w:cs="Arial"/>
          <w:b/>
          <w:sz w:val="16"/>
          <w:szCs w:val="16"/>
        </w:rPr>
        <w:t xml:space="preserve"> </w:t>
      </w:r>
      <w:r>
        <w:rPr>
          <w:rFonts w:eastAsia="Times New Roman" w:cs="Arial"/>
          <w:b/>
          <w:sz w:val="20"/>
          <w:szCs w:val="20"/>
        </w:rPr>
        <w:t>_______________________________________________</w:t>
      </w:r>
    </w:p>
    <w:p w14:paraId="681C0A80" w14:textId="77777777" w:rsidR="00843F88" w:rsidRDefault="00843F88" w:rsidP="00843F88">
      <w:pPr>
        <w:overflowPunct w:val="0"/>
        <w:autoSpaceDE w:val="0"/>
        <w:autoSpaceDN w:val="0"/>
        <w:adjustRightInd w:val="0"/>
        <w:spacing w:after="0" w:line="240" w:lineRule="auto"/>
        <w:textAlignment w:val="baseline"/>
        <w:rPr>
          <w:rFonts w:eastAsia="Times New Roman" w:cs="Arial"/>
          <w:b/>
          <w:noProof/>
          <w:sz w:val="18"/>
          <w:szCs w:val="18"/>
        </w:rPr>
      </w:pPr>
    </w:p>
    <w:p w14:paraId="16CBC23E" w14:textId="77777777" w:rsidR="00843F88" w:rsidRPr="00BE1CD3" w:rsidRDefault="00843F88" w:rsidP="00843F88">
      <w:pPr>
        <w:overflowPunct w:val="0"/>
        <w:autoSpaceDE w:val="0"/>
        <w:autoSpaceDN w:val="0"/>
        <w:adjustRightInd w:val="0"/>
        <w:spacing w:after="0" w:line="240" w:lineRule="auto"/>
        <w:textAlignment w:val="baseline"/>
        <w:rPr>
          <w:rFonts w:eastAsia="Times New Roman" w:cs="Arial"/>
          <w:noProof/>
          <w:sz w:val="20"/>
          <w:szCs w:val="20"/>
        </w:rPr>
      </w:pPr>
      <w:r w:rsidRPr="00BE1CD3">
        <w:rPr>
          <w:rFonts w:eastAsia="Times New Roman" w:cs="Arial"/>
          <w:b/>
          <w:noProof/>
          <w:sz w:val="20"/>
          <w:szCs w:val="20"/>
        </w:rPr>
        <w:t xml:space="preserve">Please provide </w:t>
      </w:r>
      <w:r w:rsidRPr="00BE1CD3">
        <w:rPr>
          <w:rFonts w:eastAsia="Times New Roman" w:cs="Arial"/>
          <w:b/>
          <w:noProof/>
          <w:sz w:val="20"/>
          <w:szCs w:val="20"/>
          <w:u w:val="single"/>
        </w:rPr>
        <w:t>full explanations, including numerical values</w:t>
      </w:r>
      <w:r w:rsidRPr="00BE1CD3">
        <w:rPr>
          <w:rFonts w:eastAsia="Times New Roman" w:cs="Arial"/>
          <w:noProof/>
          <w:sz w:val="20"/>
          <w:szCs w:val="20"/>
        </w:rPr>
        <w:t>, for the following:</w:t>
      </w:r>
    </w:p>
    <w:p w14:paraId="21E79406" w14:textId="77777777" w:rsidR="00843F88" w:rsidRPr="00BE1CD3" w:rsidRDefault="00843F88" w:rsidP="00843F88">
      <w:pPr>
        <w:numPr>
          <w:ilvl w:val="0"/>
          <w:numId w:val="1"/>
        </w:numPr>
        <w:overflowPunct w:val="0"/>
        <w:autoSpaceDE w:val="0"/>
        <w:autoSpaceDN w:val="0"/>
        <w:adjustRightInd w:val="0"/>
        <w:spacing w:after="0" w:line="240" w:lineRule="auto"/>
        <w:jc w:val="left"/>
        <w:textAlignment w:val="baseline"/>
        <w:rPr>
          <w:rFonts w:eastAsia="Times New Roman" w:cs="Arial"/>
          <w:noProof/>
          <w:sz w:val="20"/>
          <w:szCs w:val="20"/>
        </w:rPr>
      </w:pPr>
      <w:r w:rsidRPr="00BE1CD3">
        <w:rPr>
          <w:rFonts w:eastAsia="Times New Roman" w:cs="Arial"/>
          <w:noProof/>
          <w:sz w:val="20"/>
          <w:szCs w:val="20"/>
        </w:rPr>
        <w:t xml:space="preserve">variances of more than 15% between totals for individual boxes (except variances of less than £200); </w:t>
      </w:r>
    </w:p>
    <w:p w14:paraId="4C26794E" w14:textId="77777777" w:rsidR="00843F88" w:rsidRPr="00BE1CD3" w:rsidRDefault="00843F88" w:rsidP="00843F88">
      <w:pPr>
        <w:numPr>
          <w:ilvl w:val="0"/>
          <w:numId w:val="1"/>
        </w:numPr>
        <w:overflowPunct w:val="0"/>
        <w:autoSpaceDE w:val="0"/>
        <w:autoSpaceDN w:val="0"/>
        <w:adjustRightInd w:val="0"/>
        <w:spacing w:after="0" w:line="240" w:lineRule="auto"/>
        <w:jc w:val="left"/>
        <w:textAlignment w:val="baseline"/>
        <w:rPr>
          <w:rFonts w:eastAsia="Times New Roman" w:cs="Arial"/>
          <w:noProof/>
          <w:sz w:val="20"/>
          <w:szCs w:val="20"/>
        </w:rPr>
      </w:pPr>
      <w:r w:rsidRPr="00BE1CD3">
        <w:rPr>
          <w:rFonts w:eastAsia="Times New Roman" w:cs="Arial"/>
          <w:noProof/>
          <w:sz w:val="20"/>
          <w:szCs w:val="20"/>
        </w:rPr>
        <w:t>a breakdown of approved reserves if the total reserves (Box 7) figure is more than twice the annual precept/rates &amp; levies value (Box 2).</w:t>
      </w:r>
    </w:p>
    <w:p w14:paraId="7B0877FB" w14:textId="77777777" w:rsidR="00843F88" w:rsidRPr="002866E8" w:rsidRDefault="00843F88" w:rsidP="00843F88">
      <w:pPr>
        <w:overflowPunct w:val="0"/>
        <w:autoSpaceDE w:val="0"/>
        <w:autoSpaceDN w:val="0"/>
        <w:adjustRightInd w:val="0"/>
        <w:spacing w:after="0" w:line="240" w:lineRule="auto"/>
        <w:ind w:left="360"/>
        <w:jc w:val="left"/>
        <w:textAlignment w:val="baseline"/>
        <w:rPr>
          <w:rFonts w:eastAsia="Times New Roman" w:cs="Arial"/>
          <w:noProof/>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1128"/>
        <w:gridCol w:w="1134"/>
        <w:gridCol w:w="1134"/>
        <w:gridCol w:w="1134"/>
        <w:gridCol w:w="3431"/>
      </w:tblGrid>
      <w:tr w:rsidR="00843F88" w:rsidRPr="007D42F3" w14:paraId="37BC367F" w14:textId="77777777" w:rsidTr="003B5F4C">
        <w:trPr>
          <w:trHeight w:val="527"/>
        </w:trPr>
        <w:tc>
          <w:tcPr>
            <w:tcW w:w="1390" w:type="dxa"/>
          </w:tcPr>
          <w:p w14:paraId="0EEFBF70"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Cs w:val="20"/>
              </w:rPr>
            </w:pPr>
            <w:r>
              <w:rPr>
                <w:rFonts w:eastAsia="Times New Roman" w:cs="Arial"/>
                <w:b/>
                <w:noProof/>
                <w:szCs w:val="20"/>
              </w:rPr>
              <w:t>Section 2</w:t>
            </w:r>
          </w:p>
        </w:tc>
        <w:tc>
          <w:tcPr>
            <w:tcW w:w="1128" w:type="dxa"/>
          </w:tcPr>
          <w:p w14:paraId="1E8FEADB"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Pr>
                <w:rFonts w:eastAsia="Times New Roman" w:cs="Arial"/>
                <w:b/>
                <w:noProof/>
                <w:szCs w:val="20"/>
              </w:rPr>
              <w:t>2016/17</w:t>
            </w:r>
          </w:p>
          <w:p w14:paraId="12318BC2"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w:t>
            </w:r>
          </w:p>
        </w:tc>
        <w:tc>
          <w:tcPr>
            <w:tcW w:w="1134" w:type="dxa"/>
          </w:tcPr>
          <w:p w14:paraId="11CB4DCC"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Pr>
                <w:rFonts w:eastAsia="Times New Roman" w:cs="Arial"/>
                <w:b/>
                <w:noProof/>
                <w:szCs w:val="20"/>
              </w:rPr>
              <w:t>2017/18</w:t>
            </w:r>
          </w:p>
          <w:p w14:paraId="3F74470D"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w:t>
            </w:r>
          </w:p>
        </w:tc>
        <w:tc>
          <w:tcPr>
            <w:tcW w:w="1134" w:type="dxa"/>
          </w:tcPr>
          <w:p w14:paraId="6AD6A38C"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Variance</w:t>
            </w:r>
          </w:p>
          <w:p w14:paraId="474D2C4B"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w:t>
            </w:r>
          </w:p>
        </w:tc>
        <w:tc>
          <w:tcPr>
            <w:tcW w:w="1134" w:type="dxa"/>
          </w:tcPr>
          <w:p w14:paraId="76A90B97"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Variance</w:t>
            </w:r>
          </w:p>
          <w:p w14:paraId="4E2E9199"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w:t>
            </w:r>
          </w:p>
        </w:tc>
        <w:tc>
          <w:tcPr>
            <w:tcW w:w="3431" w:type="dxa"/>
          </w:tcPr>
          <w:p w14:paraId="6B946A3A" w14:textId="77777777" w:rsidR="00843F88" w:rsidRPr="007D42F3" w:rsidRDefault="00843F88" w:rsidP="003B5F4C">
            <w:pPr>
              <w:overflowPunct w:val="0"/>
              <w:autoSpaceDE w:val="0"/>
              <w:autoSpaceDN w:val="0"/>
              <w:adjustRightInd w:val="0"/>
              <w:spacing w:after="0" w:line="240" w:lineRule="auto"/>
              <w:jc w:val="center"/>
              <w:textAlignment w:val="baseline"/>
              <w:rPr>
                <w:rFonts w:eastAsia="Times New Roman" w:cs="Arial"/>
                <w:b/>
                <w:noProof/>
                <w:szCs w:val="20"/>
              </w:rPr>
            </w:pPr>
            <w:r w:rsidRPr="007D42F3">
              <w:rPr>
                <w:rFonts w:eastAsia="Times New Roman" w:cs="Arial"/>
                <w:b/>
                <w:noProof/>
                <w:szCs w:val="20"/>
              </w:rPr>
              <w:t>Detailed explanation of variance (with amounts £)</w:t>
            </w:r>
          </w:p>
        </w:tc>
      </w:tr>
      <w:tr w:rsidR="00843F88" w:rsidRPr="007D42F3" w14:paraId="5C6F0A52" w14:textId="77777777" w:rsidTr="003B5F4C">
        <w:trPr>
          <w:trHeight w:val="983"/>
        </w:trPr>
        <w:tc>
          <w:tcPr>
            <w:tcW w:w="1390" w:type="dxa"/>
          </w:tcPr>
          <w:p w14:paraId="4A8370B1"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2</w:t>
            </w:r>
          </w:p>
          <w:p w14:paraId="2F8705E0"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sidRPr="007D42F3">
              <w:rPr>
                <w:rFonts w:eastAsia="Times New Roman" w:cs="Arial"/>
                <w:i/>
                <w:noProof/>
                <w:sz w:val="20"/>
                <w:szCs w:val="20"/>
              </w:rPr>
              <w:t>Precept</w:t>
            </w:r>
            <w:r>
              <w:rPr>
                <w:rFonts w:eastAsia="Times New Roman" w:cs="Arial"/>
                <w:i/>
                <w:noProof/>
                <w:sz w:val="20"/>
                <w:szCs w:val="20"/>
              </w:rPr>
              <w:t xml:space="preserve"> or Rates and Levies</w:t>
            </w:r>
          </w:p>
          <w:p w14:paraId="69F93877"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18F8221F"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tc>
        <w:tc>
          <w:tcPr>
            <w:tcW w:w="1128" w:type="dxa"/>
          </w:tcPr>
          <w:p w14:paraId="0241C087"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6420</w:t>
            </w:r>
          </w:p>
        </w:tc>
        <w:tc>
          <w:tcPr>
            <w:tcW w:w="1134" w:type="dxa"/>
          </w:tcPr>
          <w:p w14:paraId="2F83B68A"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7500</w:t>
            </w:r>
          </w:p>
        </w:tc>
        <w:tc>
          <w:tcPr>
            <w:tcW w:w="1134" w:type="dxa"/>
          </w:tcPr>
          <w:p w14:paraId="6AFE8827"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+1080</w:t>
            </w:r>
          </w:p>
        </w:tc>
        <w:tc>
          <w:tcPr>
            <w:tcW w:w="1134" w:type="dxa"/>
          </w:tcPr>
          <w:p w14:paraId="41BA1D9B"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17</w:t>
            </w:r>
          </w:p>
        </w:tc>
        <w:tc>
          <w:tcPr>
            <w:tcW w:w="3431" w:type="dxa"/>
          </w:tcPr>
          <w:p w14:paraId="1C0E8A4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Figure of £7,500 was incorrectly set down on the application form, a genuine mistake by the clerk, resulting in an increase of £1,080. Precept application for 2018/2019 has taken this into account and steps have been taken to prevent it happening again i.e. completing the form at the meeting when approved, so that it can be checked. Also written into the Risk Assessment.</w:t>
            </w:r>
          </w:p>
          <w:p w14:paraId="74DB2D10"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175CC144"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18D6B54C" w14:textId="77777777" w:rsidTr="003B5F4C">
        <w:trPr>
          <w:trHeight w:val="983"/>
        </w:trPr>
        <w:tc>
          <w:tcPr>
            <w:tcW w:w="1390" w:type="dxa"/>
          </w:tcPr>
          <w:p w14:paraId="2AEBC39B"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3</w:t>
            </w:r>
          </w:p>
          <w:p w14:paraId="31BBE6A7"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Pr>
                <w:rFonts w:eastAsia="Times New Roman" w:cs="Arial"/>
                <w:i/>
                <w:noProof/>
                <w:sz w:val="20"/>
                <w:szCs w:val="20"/>
              </w:rPr>
              <w:t>Total o</w:t>
            </w:r>
            <w:r w:rsidRPr="007D42F3">
              <w:rPr>
                <w:rFonts w:eastAsia="Times New Roman" w:cs="Arial"/>
                <w:i/>
                <w:noProof/>
                <w:sz w:val="20"/>
                <w:szCs w:val="20"/>
              </w:rPr>
              <w:t>ther receipts</w:t>
            </w:r>
          </w:p>
          <w:p w14:paraId="108C6A3D"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75D46A44"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70FDB72C"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noProof/>
                <w:sz w:val="20"/>
                <w:szCs w:val="20"/>
              </w:rPr>
            </w:pPr>
          </w:p>
        </w:tc>
        <w:tc>
          <w:tcPr>
            <w:tcW w:w="1128" w:type="dxa"/>
          </w:tcPr>
          <w:p w14:paraId="5069189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2114</w:t>
            </w:r>
          </w:p>
          <w:p w14:paraId="6AE0E0DF"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Pr>
          <w:p w14:paraId="501FB58F"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1859</w:t>
            </w:r>
          </w:p>
        </w:tc>
        <w:tc>
          <w:tcPr>
            <w:tcW w:w="1134" w:type="dxa"/>
          </w:tcPr>
          <w:p w14:paraId="6B85142D"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-255</w:t>
            </w:r>
          </w:p>
        </w:tc>
        <w:tc>
          <w:tcPr>
            <w:tcW w:w="1134" w:type="dxa"/>
          </w:tcPr>
          <w:p w14:paraId="6B63EB6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-14</w:t>
            </w:r>
          </w:p>
        </w:tc>
        <w:tc>
          <w:tcPr>
            <w:tcW w:w="3431" w:type="dxa"/>
          </w:tcPr>
          <w:p w14:paraId="734A7501"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Refunded VAT is £190 lower than in 2016/2017 as there were fewer VAT rated payments made in 2017/2018</w:t>
            </w:r>
          </w:p>
          <w:p w14:paraId="0A779630"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‘Fernandes Bequest’ which provides annual income towards the upkeep of the cemetery was £38 less in 2017/2018, due to lower interest rates.</w:t>
            </w:r>
          </w:p>
          <w:p w14:paraId="28C9556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Half cost of broadband refunded by Bishops Caundle Parish Council as clerk is also clerk there and uses same broadband at home, increase of £3</w:t>
            </w:r>
          </w:p>
          <w:p w14:paraId="4EDF13F5"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A donation was given to the Parish Council in 2016/2017 of £30 for woodstain for the playarea, as a one off gift. No donations made in 2017/2018</w:t>
            </w:r>
          </w:p>
          <w:p w14:paraId="5F0D8448"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Total difference: £-255</w:t>
            </w:r>
          </w:p>
          <w:p w14:paraId="249895AD"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0CB2C752"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4195547A"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477B8184" w14:textId="77777777" w:rsidTr="003B5F4C">
        <w:trPr>
          <w:trHeight w:val="997"/>
        </w:trPr>
        <w:tc>
          <w:tcPr>
            <w:tcW w:w="1390" w:type="dxa"/>
          </w:tcPr>
          <w:p w14:paraId="7FF5EA70"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4</w:t>
            </w:r>
          </w:p>
          <w:p w14:paraId="182FD5FB"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sidRPr="007D42F3">
              <w:rPr>
                <w:rFonts w:eastAsia="Times New Roman" w:cs="Arial"/>
                <w:i/>
                <w:noProof/>
                <w:sz w:val="20"/>
                <w:szCs w:val="20"/>
              </w:rPr>
              <w:t xml:space="preserve">Staff costs </w:t>
            </w:r>
          </w:p>
          <w:p w14:paraId="7E30CB6E"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30F94594"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65EF1A1A"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20C94165"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tc>
        <w:tc>
          <w:tcPr>
            <w:tcW w:w="1128" w:type="dxa"/>
          </w:tcPr>
          <w:p w14:paraId="63DE9362"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2,155</w:t>
            </w:r>
          </w:p>
          <w:p w14:paraId="6CC912AE"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Pr>
          <w:p w14:paraId="78DE959E"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2,177</w:t>
            </w:r>
          </w:p>
        </w:tc>
        <w:tc>
          <w:tcPr>
            <w:tcW w:w="1134" w:type="dxa"/>
          </w:tcPr>
          <w:p w14:paraId="0E1ECAB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+22</w:t>
            </w:r>
          </w:p>
        </w:tc>
        <w:tc>
          <w:tcPr>
            <w:tcW w:w="1134" w:type="dxa"/>
          </w:tcPr>
          <w:p w14:paraId="4E53426B"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+1</w:t>
            </w:r>
          </w:p>
        </w:tc>
        <w:tc>
          <w:tcPr>
            <w:tcW w:w="3431" w:type="dxa"/>
          </w:tcPr>
          <w:p w14:paraId="6B27D357"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71E3B3F4"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552451CF" w14:textId="77777777" w:rsidTr="003B5F4C">
        <w:trPr>
          <w:trHeight w:val="1125"/>
        </w:trPr>
        <w:tc>
          <w:tcPr>
            <w:tcW w:w="1390" w:type="dxa"/>
          </w:tcPr>
          <w:p w14:paraId="682471C1"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5</w:t>
            </w:r>
          </w:p>
          <w:p w14:paraId="592CD9EB"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sidRPr="007D42F3">
              <w:rPr>
                <w:rFonts w:eastAsia="Times New Roman" w:cs="Arial"/>
                <w:i/>
                <w:noProof/>
                <w:sz w:val="20"/>
                <w:szCs w:val="20"/>
              </w:rPr>
              <w:t>Loan interest/ capital repayments</w:t>
            </w:r>
          </w:p>
          <w:p w14:paraId="28B10049"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tc>
        <w:tc>
          <w:tcPr>
            <w:tcW w:w="1128" w:type="dxa"/>
          </w:tcPr>
          <w:p w14:paraId="2964CA49"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0</w:t>
            </w:r>
          </w:p>
        </w:tc>
        <w:tc>
          <w:tcPr>
            <w:tcW w:w="1134" w:type="dxa"/>
          </w:tcPr>
          <w:p w14:paraId="1AB11D3A"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0</w:t>
            </w:r>
          </w:p>
        </w:tc>
        <w:tc>
          <w:tcPr>
            <w:tcW w:w="1134" w:type="dxa"/>
          </w:tcPr>
          <w:p w14:paraId="17BAF138"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0</w:t>
            </w:r>
          </w:p>
        </w:tc>
        <w:tc>
          <w:tcPr>
            <w:tcW w:w="1134" w:type="dxa"/>
          </w:tcPr>
          <w:p w14:paraId="79C4BF31"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0</w:t>
            </w:r>
          </w:p>
        </w:tc>
        <w:tc>
          <w:tcPr>
            <w:tcW w:w="3431" w:type="dxa"/>
          </w:tcPr>
          <w:p w14:paraId="0BE7B071"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5268996B"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11D28AD2"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1CAB6FA2" w14:textId="77777777" w:rsidTr="003B5F4C">
        <w:trPr>
          <w:trHeight w:val="943"/>
        </w:trPr>
        <w:tc>
          <w:tcPr>
            <w:tcW w:w="1390" w:type="dxa"/>
            <w:tcBorders>
              <w:bottom w:val="single" w:sz="4" w:space="0" w:color="auto"/>
            </w:tcBorders>
          </w:tcPr>
          <w:p w14:paraId="6D6362E4"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6</w:t>
            </w:r>
          </w:p>
          <w:p w14:paraId="18D5A5DD"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Pr>
                <w:rFonts w:eastAsia="Times New Roman" w:cs="Arial"/>
                <w:i/>
                <w:noProof/>
                <w:sz w:val="20"/>
                <w:szCs w:val="20"/>
              </w:rPr>
              <w:t>All o</w:t>
            </w:r>
            <w:r w:rsidRPr="007D42F3">
              <w:rPr>
                <w:rFonts w:eastAsia="Times New Roman" w:cs="Arial"/>
                <w:i/>
                <w:noProof/>
                <w:sz w:val="20"/>
                <w:szCs w:val="20"/>
              </w:rPr>
              <w:t>ther payments</w:t>
            </w:r>
          </w:p>
          <w:p w14:paraId="5748CB74"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1EB1F583"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2C246A4C"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tc>
        <w:tc>
          <w:tcPr>
            <w:tcW w:w="1128" w:type="dxa"/>
            <w:tcBorders>
              <w:bottom w:val="single" w:sz="4" w:space="0" w:color="auto"/>
            </w:tcBorders>
          </w:tcPr>
          <w:p w14:paraId="0C0EB8EF"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lastRenderedPageBreak/>
              <w:t>4891</w:t>
            </w:r>
          </w:p>
          <w:p w14:paraId="2BD95BB4"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4C9FC8AE"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5193</w:t>
            </w:r>
          </w:p>
        </w:tc>
        <w:tc>
          <w:tcPr>
            <w:tcW w:w="1134" w:type="dxa"/>
            <w:tcBorders>
              <w:bottom w:val="single" w:sz="4" w:space="0" w:color="auto"/>
            </w:tcBorders>
          </w:tcPr>
          <w:p w14:paraId="28E28F3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+302</w:t>
            </w:r>
          </w:p>
        </w:tc>
        <w:tc>
          <w:tcPr>
            <w:tcW w:w="1134" w:type="dxa"/>
            <w:tcBorders>
              <w:bottom w:val="single" w:sz="4" w:space="0" w:color="auto"/>
            </w:tcBorders>
          </w:tcPr>
          <w:p w14:paraId="169CAF7C"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6</w:t>
            </w:r>
          </w:p>
        </w:tc>
        <w:tc>
          <w:tcPr>
            <w:tcW w:w="3431" w:type="dxa"/>
            <w:tcBorders>
              <w:bottom w:val="single" w:sz="4" w:space="0" w:color="auto"/>
            </w:tcBorders>
          </w:tcPr>
          <w:p w14:paraId="1404E99D"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No clerk’s expenses claimed in 16/17, 17/18 claim of               </w:t>
            </w:r>
            <w:r w:rsidRPr="009B5C8F">
              <w:rPr>
                <w:rFonts w:eastAsia="Times New Roman" w:cs="Arial"/>
                <w:b/>
                <w:noProof/>
                <w:sz w:val="20"/>
                <w:szCs w:val="20"/>
              </w:rPr>
              <w:t>+ £7</w:t>
            </w:r>
            <w:r>
              <w:rPr>
                <w:rFonts w:eastAsia="Times New Roman" w:cs="Arial"/>
                <w:b/>
                <w:noProof/>
                <w:sz w:val="20"/>
                <w:szCs w:val="20"/>
              </w:rPr>
              <w:t>3</w:t>
            </w:r>
          </w:p>
          <w:p w14:paraId="1B82DD0A"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Computer ink  17/18                </w:t>
            </w:r>
            <w:r w:rsidRPr="009B5C8F">
              <w:rPr>
                <w:rFonts w:eastAsia="Times New Roman" w:cs="Arial"/>
                <w:b/>
                <w:noProof/>
                <w:sz w:val="20"/>
                <w:szCs w:val="20"/>
              </w:rPr>
              <w:t>+£26</w:t>
            </w:r>
            <w:r>
              <w:rPr>
                <w:rFonts w:eastAsia="Times New Roman" w:cs="Arial"/>
                <w:noProof/>
                <w:sz w:val="20"/>
                <w:szCs w:val="20"/>
              </w:rPr>
              <w:t xml:space="preserve">  no ink purchased in 16/17</w:t>
            </w:r>
          </w:p>
          <w:p w14:paraId="06669A89" w14:textId="77777777" w:rsidR="00843F88" w:rsidRPr="009B5C8F" w:rsidRDefault="00843F88" w:rsidP="003B5F4C">
            <w:pPr>
              <w:overflowPunct w:val="0"/>
              <w:autoSpaceDE w:val="0"/>
              <w:autoSpaceDN w:val="0"/>
              <w:adjustRightInd w:val="0"/>
              <w:spacing w:after="0" w:line="240" w:lineRule="auto"/>
              <w:textAlignment w:val="baseline"/>
              <w:rPr>
                <w:rFonts w:eastAsia="Times New Roman" w:cs="Arial"/>
                <w:b/>
                <w:noProof/>
                <w:sz w:val="20"/>
                <w:szCs w:val="20"/>
              </w:rPr>
            </w:pPr>
            <w:r>
              <w:rPr>
                <w:rFonts w:eastAsia="Times New Roman" w:cs="Arial"/>
                <w:noProof/>
                <w:sz w:val="20"/>
                <w:szCs w:val="20"/>
              </w:rPr>
              <w:lastRenderedPageBreak/>
              <w:t xml:space="preserve">AVG Subscription in 17/18, no subcription in 16/17 as previous year was a 2 year subscription      </w:t>
            </w:r>
            <w:r w:rsidRPr="009B5C8F">
              <w:rPr>
                <w:rFonts w:eastAsia="Times New Roman" w:cs="Arial"/>
                <w:b/>
                <w:noProof/>
                <w:sz w:val="20"/>
                <w:szCs w:val="20"/>
              </w:rPr>
              <w:t>+ £106</w:t>
            </w:r>
          </w:p>
          <w:p w14:paraId="29431B57"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Insurance 17/18                         </w:t>
            </w:r>
            <w:r w:rsidRPr="001B2DE8">
              <w:rPr>
                <w:rFonts w:eastAsia="Times New Roman" w:cs="Arial"/>
                <w:b/>
                <w:noProof/>
                <w:sz w:val="20"/>
                <w:szCs w:val="20"/>
              </w:rPr>
              <w:t xml:space="preserve">+ £7 </w:t>
            </w:r>
          </w:p>
          <w:p w14:paraId="0E7C9A79"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DAPTC Subscription in 17/18   </w:t>
            </w:r>
            <w:r w:rsidRPr="009B5C8F">
              <w:rPr>
                <w:rFonts w:eastAsia="Times New Roman" w:cs="Arial"/>
                <w:b/>
                <w:noProof/>
                <w:sz w:val="20"/>
                <w:szCs w:val="20"/>
              </w:rPr>
              <w:t>+£38</w:t>
            </w:r>
            <w:r>
              <w:rPr>
                <w:rFonts w:eastAsia="Times New Roman" w:cs="Arial"/>
                <w:noProof/>
                <w:sz w:val="20"/>
                <w:szCs w:val="20"/>
              </w:rPr>
              <w:t xml:space="preserve">  </w:t>
            </w:r>
          </w:p>
          <w:p w14:paraId="5D3EBA78"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Broadband in 17/18                  </w:t>
            </w:r>
            <w:r w:rsidRPr="009B5C8F">
              <w:rPr>
                <w:rFonts w:eastAsia="Times New Roman" w:cs="Arial"/>
                <w:b/>
                <w:noProof/>
                <w:sz w:val="20"/>
                <w:szCs w:val="20"/>
              </w:rPr>
              <w:t>+£18</w:t>
            </w:r>
            <w:r>
              <w:rPr>
                <w:rFonts w:eastAsia="Times New Roman" w:cs="Arial"/>
                <w:noProof/>
                <w:sz w:val="20"/>
                <w:szCs w:val="20"/>
              </w:rPr>
              <w:t xml:space="preserve">   </w:t>
            </w:r>
          </w:p>
          <w:p w14:paraId="4A84755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No internal auditor donation made in 17/18, will be made in 18/19     </w:t>
            </w:r>
            <w:r w:rsidRPr="009B5C8F">
              <w:rPr>
                <w:rFonts w:eastAsia="Times New Roman" w:cs="Arial"/>
                <w:b/>
                <w:noProof/>
                <w:sz w:val="20"/>
                <w:szCs w:val="20"/>
              </w:rPr>
              <w:t>-£50</w:t>
            </w:r>
          </w:p>
          <w:p w14:paraId="569786F1" w14:textId="77777777" w:rsidR="00843F88" w:rsidRPr="009B5C8F" w:rsidRDefault="00843F88" w:rsidP="003B5F4C">
            <w:pPr>
              <w:overflowPunct w:val="0"/>
              <w:autoSpaceDE w:val="0"/>
              <w:autoSpaceDN w:val="0"/>
              <w:adjustRightInd w:val="0"/>
              <w:spacing w:after="0" w:line="240" w:lineRule="auto"/>
              <w:textAlignment w:val="baseline"/>
              <w:rPr>
                <w:rFonts w:eastAsia="Times New Roman" w:cs="Arial"/>
                <w:b/>
                <w:noProof/>
                <w:sz w:val="20"/>
                <w:szCs w:val="20"/>
              </w:rPr>
            </w:pPr>
            <w:r>
              <w:rPr>
                <w:rFonts w:eastAsia="Times New Roman" w:cs="Arial"/>
                <w:noProof/>
                <w:sz w:val="20"/>
                <w:szCs w:val="20"/>
              </w:rPr>
              <w:t xml:space="preserve">Hall Rent lower as fewer meetings required in 17/18                        </w:t>
            </w:r>
            <w:r w:rsidRPr="009B5C8F">
              <w:rPr>
                <w:rFonts w:eastAsia="Times New Roman" w:cs="Arial"/>
                <w:b/>
                <w:noProof/>
                <w:sz w:val="20"/>
                <w:szCs w:val="20"/>
              </w:rPr>
              <w:t>-£17</w:t>
            </w:r>
          </w:p>
          <w:p w14:paraId="0E20A5B1" w14:textId="77777777" w:rsidR="00843F88" w:rsidRPr="001B2DE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Computer adjustments etc. in 16/17  Not needed in 17/18                 </w:t>
            </w:r>
            <w:r>
              <w:rPr>
                <w:rFonts w:eastAsia="Times New Roman" w:cs="Arial"/>
                <w:b/>
                <w:noProof/>
                <w:sz w:val="20"/>
                <w:szCs w:val="20"/>
              </w:rPr>
              <w:t xml:space="preserve">- </w:t>
            </w:r>
            <w:r w:rsidRPr="001B2DE8">
              <w:rPr>
                <w:rFonts w:eastAsia="Times New Roman" w:cs="Arial"/>
                <w:b/>
                <w:noProof/>
                <w:sz w:val="20"/>
                <w:szCs w:val="20"/>
              </w:rPr>
              <w:t>£</w:t>
            </w:r>
            <w:r>
              <w:rPr>
                <w:rFonts w:eastAsia="Times New Roman" w:cs="Arial"/>
                <w:b/>
                <w:noProof/>
                <w:sz w:val="20"/>
                <w:szCs w:val="20"/>
              </w:rPr>
              <w:t>36</w:t>
            </w:r>
            <w:r w:rsidRPr="001B2DE8">
              <w:rPr>
                <w:rFonts w:eastAsia="Times New Roman" w:cs="Arial"/>
                <w:b/>
                <w:noProof/>
                <w:sz w:val="20"/>
                <w:szCs w:val="20"/>
              </w:rPr>
              <w:t xml:space="preserve">                               </w:t>
            </w:r>
          </w:p>
          <w:p w14:paraId="15813E7C"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Playarea Grass Cutting      </w:t>
            </w:r>
            <w:r w:rsidRPr="009B5C8F">
              <w:rPr>
                <w:rFonts w:eastAsia="Times New Roman" w:cs="Arial"/>
                <w:b/>
                <w:noProof/>
                <w:sz w:val="20"/>
                <w:szCs w:val="20"/>
              </w:rPr>
              <w:t>£+70</w:t>
            </w:r>
            <w:r>
              <w:rPr>
                <w:rFonts w:eastAsia="Times New Roman" w:cs="Arial"/>
                <w:noProof/>
                <w:sz w:val="20"/>
                <w:szCs w:val="20"/>
              </w:rPr>
              <w:t xml:space="preserve"> 17/18, increase in contractor’s rates</w:t>
            </w:r>
          </w:p>
          <w:p w14:paraId="1A46E3F4" w14:textId="77777777" w:rsidR="00843F88" w:rsidRPr="009B5C8F" w:rsidRDefault="00843F88" w:rsidP="003B5F4C">
            <w:pPr>
              <w:overflowPunct w:val="0"/>
              <w:autoSpaceDE w:val="0"/>
              <w:autoSpaceDN w:val="0"/>
              <w:adjustRightInd w:val="0"/>
              <w:spacing w:after="0" w:line="240" w:lineRule="auto"/>
              <w:textAlignment w:val="baseline"/>
              <w:rPr>
                <w:rFonts w:eastAsia="Times New Roman" w:cs="Arial"/>
                <w:b/>
                <w:noProof/>
                <w:sz w:val="20"/>
                <w:szCs w:val="20"/>
              </w:rPr>
            </w:pPr>
            <w:r>
              <w:rPr>
                <w:rFonts w:eastAsia="Times New Roman" w:cs="Arial"/>
                <w:noProof/>
                <w:sz w:val="20"/>
                <w:szCs w:val="20"/>
              </w:rPr>
              <w:t xml:space="preserve">Playarea materials for maintenance in 17/18                                  </w:t>
            </w:r>
            <w:r w:rsidRPr="009B5C8F">
              <w:rPr>
                <w:rFonts w:eastAsia="Times New Roman" w:cs="Arial"/>
                <w:b/>
                <w:noProof/>
                <w:sz w:val="20"/>
                <w:szCs w:val="20"/>
              </w:rPr>
              <w:t xml:space="preserve"> </w:t>
            </w:r>
            <w:r>
              <w:rPr>
                <w:rFonts w:eastAsia="Times New Roman" w:cs="Arial"/>
                <w:b/>
                <w:noProof/>
                <w:sz w:val="20"/>
                <w:szCs w:val="20"/>
              </w:rPr>
              <w:t xml:space="preserve"> </w:t>
            </w:r>
            <w:r w:rsidRPr="009B5C8F">
              <w:rPr>
                <w:rFonts w:eastAsia="Times New Roman" w:cs="Arial"/>
                <w:b/>
                <w:noProof/>
                <w:sz w:val="20"/>
                <w:szCs w:val="20"/>
              </w:rPr>
              <w:t xml:space="preserve"> +£7</w:t>
            </w:r>
            <w:r>
              <w:rPr>
                <w:rFonts w:eastAsia="Times New Roman" w:cs="Arial"/>
                <w:b/>
                <w:noProof/>
                <w:sz w:val="20"/>
                <w:szCs w:val="20"/>
              </w:rPr>
              <w:t>7</w:t>
            </w:r>
          </w:p>
          <w:p w14:paraId="2CA3D75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 xml:space="preserve">Playarea rent not invoiced in 17/18 to be investigated                      </w:t>
            </w:r>
            <w:r w:rsidRPr="009B5C8F">
              <w:rPr>
                <w:rFonts w:eastAsia="Times New Roman" w:cs="Arial"/>
                <w:b/>
                <w:noProof/>
                <w:sz w:val="20"/>
                <w:szCs w:val="20"/>
              </w:rPr>
              <w:t>-£10</w:t>
            </w:r>
          </w:p>
          <w:p w14:paraId="2489EED1"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5A9B8E3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Totals £302</w:t>
            </w:r>
          </w:p>
        </w:tc>
      </w:tr>
      <w:tr w:rsidR="00843F88" w:rsidRPr="007D42F3" w14:paraId="7DAEB0B7" w14:textId="77777777" w:rsidTr="003B5F4C">
        <w:trPr>
          <w:trHeight w:val="943"/>
        </w:trPr>
        <w:tc>
          <w:tcPr>
            <w:tcW w:w="1390" w:type="dxa"/>
            <w:tcBorders>
              <w:bottom w:val="single" w:sz="4" w:space="0" w:color="auto"/>
            </w:tcBorders>
          </w:tcPr>
          <w:p w14:paraId="77E64E4C"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Pr>
                <w:rFonts w:eastAsia="Times New Roman" w:cs="Arial"/>
                <w:b/>
                <w:noProof/>
                <w:sz w:val="20"/>
                <w:szCs w:val="20"/>
              </w:rPr>
              <w:lastRenderedPageBreak/>
              <w:t>Box 7</w:t>
            </w:r>
          </w:p>
          <w:p w14:paraId="5956BF81"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p>
          <w:p w14:paraId="6FFDA87A" w14:textId="77777777" w:rsidR="00843F88" w:rsidRPr="008F3EB1"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sidRPr="008F3EB1">
              <w:rPr>
                <w:rFonts w:eastAsia="Times New Roman" w:cs="Arial"/>
                <w:i/>
                <w:noProof/>
                <w:sz w:val="20"/>
                <w:szCs w:val="20"/>
              </w:rPr>
              <w:t>Not Applicable</w:t>
            </w:r>
          </w:p>
        </w:tc>
        <w:tc>
          <w:tcPr>
            <w:tcW w:w="1128" w:type="dxa"/>
            <w:tcBorders>
              <w:bottom w:val="single" w:sz="4" w:space="0" w:color="auto"/>
            </w:tcBorders>
          </w:tcPr>
          <w:p w14:paraId="713550BF"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2567961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11F6B193"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4007227A"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3431" w:type="dxa"/>
            <w:tcBorders>
              <w:bottom w:val="single" w:sz="4" w:space="0" w:color="auto"/>
            </w:tcBorders>
          </w:tcPr>
          <w:p w14:paraId="6CC2867F"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19255050" w14:textId="77777777" w:rsidTr="003B5F4C">
        <w:trPr>
          <w:trHeight w:val="943"/>
        </w:trPr>
        <w:tc>
          <w:tcPr>
            <w:tcW w:w="1390" w:type="dxa"/>
            <w:tcBorders>
              <w:bottom w:val="single" w:sz="4" w:space="0" w:color="auto"/>
            </w:tcBorders>
          </w:tcPr>
          <w:p w14:paraId="31BE62FA"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Pr>
                <w:rFonts w:eastAsia="Times New Roman" w:cs="Arial"/>
                <w:b/>
                <w:noProof/>
                <w:sz w:val="20"/>
                <w:szCs w:val="20"/>
              </w:rPr>
              <w:t>Box 8</w:t>
            </w:r>
          </w:p>
          <w:p w14:paraId="6FE7EC74" w14:textId="77777777" w:rsidR="00843F88" w:rsidRPr="008F3EB1"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2F6723F7"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8F3EB1">
              <w:rPr>
                <w:rFonts w:eastAsia="Times New Roman" w:cs="Arial"/>
                <w:i/>
                <w:noProof/>
                <w:sz w:val="20"/>
                <w:szCs w:val="20"/>
              </w:rPr>
              <w:t>Not Applicable</w:t>
            </w:r>
          </w:p>
        </w:tc>
        <w:tc>
          <w:tcPr>
            <w:tcW w:w="1128" w:type="dxa"/>
            <w:tcBorders>
              <w:bottom w:val="single" w:sz="4" w:space="0" w:color="auto"/>
            </w:tcBorders>
          </w:tcPr>
          <w:p w14:paraId="22DB7E18"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59811D82"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4955E64F"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Borders>
              <w:bottom w:val="single" w:sz="4" w:space="0" w:color="auto"/>
            </w:tcBorders>
          </w:tcPr>
          <w:p w14:paraId="7F71359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3431" w:type="dxa"/>
            <w:tcBorders>
              <w:bottom w:val="single" w:sz="4" w:space="0" w:color="auto"/>
            </w:tcBorders>
          </w:tcPr>
          <w:p w14:paraId="3522F532"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4637DAB1" w14:textId="77777777" w:rsidTr="003B5F4C">
        <w:trPr>
          <w:trHeight w:val="987"/>
        </w:trPr>
        <w:tc>
          <w:tcPr>
            <w:tcW w:w="1390" w:type="dxa"/>
          </w:tcPr>
          <w:p w14:paraId="4786DC09"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9</w:t>
            </w:r>
          </w:p>
          <w:p w14:paraId="1BB43058"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Pr>
                <w:rFonts w:eastAsia="Times New Roman" w:cs="Arial"/>
                <w:i/>
                <w:noProof/>
                <w:sz w:val="20"/>
                <w:szCs w:val="20"/>
              </w:rPr>
              <w:t>Total f</w:t>
            </w:r>
            <w:r w:rsidRPr="007D42F3">
              <w:rPr>
                <w:rFonts w:eastAsia="Times New Roman" w:cs="Arial"/>
                <w:i/>
                <w:noProof/>
                <w:sz w:val="20"/>
                <w:szCs w:val="20"/>
              </w:rPr>
              <w:t xml:space="preserve">ixed assets &amp; long term </w:t>
            </w:r>
            <w:r>
              <w:rPr>
                <w:rFonts w:eastAsia="Times New Roman" w:cs="Arial"/>
                <w:i/>
                <w:noProof/>
                <w:sz w:val="20"/>
                <w:szCs w:val="20"/>
              </w:rPr>
              <w:t xml:space="preserve">investments &amp; </w:t>
            </w:r>
            <w:r w:rsidRPr="007D42F3">
              <w:rPr>
                <w:rFonts w:eastAsia="Times New Roman" w:cs="Arial"/>
                <w:i/>
                <w:noProof/>
                <w:sz w:val="20"/>
                <w:szCs w:val="20"/>
              </w:rPr>
              <w:t>assets</w:t>
            </w:r>
          </w:p>
        </w:tc>
        <w:tc>
          <w:tcPr>
            <w:tcW w:w="1128" w:type="dxa"/>
          </w:tcPr>
          <w:p w14:paraId="6AAF6919"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483</w:t>
            </w:r>
          </w:p>
          <w:p w14:paraId="665FC8B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Pr>
          <w:p w14:paraId="03A3C5CA"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483</w:t>
            </w:r>
          </w:p>
        </w:tc>
        <w:tc>
          <w:tcPr>
            <w:tcW w:w="1134" w:type="dxa"/>
          </w:tcPr>
          <w:p w14:paraId="3CE7776D"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Pr>
          <w:p w14:paraId="16DD6E69"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3431" w:type="dxa"/>
          </w:tcPr>
          <w:p w14:paraId="47E17581"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2F65BB05"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6CC46A88"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4BCA1D7E" w14:textId="77777777" w:rsidTr="003B5F4C">
        <w:trPr>
          <w:trHeight w:val="973"/>
        </w:trPr>
        <w:tc>
          <w:tcPr>
            <w:tcW w:w="1390" w:type="dxa"/>
          </w:tcPr>
          <w:p w14:paraId="67CD98BB"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Box 10</w:t>
            </w:r>
          </w:p>
          <w:p w14:paraId="5569355E" w14:textId="77777777" w:rsidR="00843F88"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Pr>
                <w:rFonts w:eastAsia="Times New Roman" w:cs="Arial"/>
                <w:i/>
                <w:noProof/>
                <w:sz w:val="20"/>
                <w:szCs w:val="20"/>
              </w:rPr>
              <w:t>Total b</w:t>
            </w:r>
            <w:r w:rsidRPr="007D42F3">
              <w:rPr>
                <w:rFonts w:eastAsia="Times New Roman" w:cs="Arial"/>
                <w:i/>
                <w:noProof/>
                <w:sz w:val="20"/>
                <w:szCs w:val="20"/>
              </w:rPr>
              <w:t>orrowings</w:t>
            </w:r>
          </w:p>
          <w:p w14:paraId="40314585"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3D44C826"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p w14:paraId="12BF2290"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p>
        </w:tc>
        <w:tc>
          <w:tcPr>
            <w:tcW w:w="1128" w:type="dxa"/>
          </w:tcPr>
          <w:p w14:paraId="499DB019"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NIL</w:t>
            </w:r>
          </w:p>
        </w:tc>
        <w:tc>
          <w:tcPr>
            <w:tcW w:w="1134" w:type="dxa"/>
          </w:tcPr>
          <w:p w14:paraId="41799B5B"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Pr>
                <w:rFonts w:eastAsia="Times New Roman" w:cs="Arial"/>
                <w:noProof/>
                <w:sz w:val="20"/>
                <w:szCs w:val="20"/>
              </w:rPr>
              <w:t>NIL</w:t>
            </w:r>
          </w:p>
        </w:tc>
        <w:tc>
          <w:tcPr>
            <w:tcW w:w="1134" w:type="dxa"/>
          </w:tcPr>
          <w:p w14:paraId="7149B797"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1134" w:type="dxa"/>
          </w:tcPr>
          <w:p w14:paraId="34150B46"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c>
          <w:tcPr>
            <w:tcW w:w="3431" w:type="dxa"/>
          </w:tcPr>
          <w:p w14:paraId="265E5A2B"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0CB5E004"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385FBC5D"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r w:rsidR="00843F88" w:rsidRPr="007D42F3" w14:paraId="04FB958E" w14:textId="77777777" w:rsidTr="003B5F4C">
        <w:trPr>
          <w:trHeight w:val="973"/>
        </w:trPr>
        <w:tc>
          <w:tcPr>
            <w:tcW w:w="1390" w:type="dxa"/>
          </w:tcPr>
          <w:p w14:paraId="23DA3F38"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r w:rsidRPr="007D42F3">
              <w:rPr>
                <w:rFonts w:eastAsia="Times New Roman" w:cs="Arial"/>
                <w:b/>
                <w:noProof/>
                <w:sz w:val="20"/>
                <w:szCs w:val="20"/>
              </w:rPr>
              <w:t>Explanation for ‘high’ reserves</w:t>
            </w:r>
          </w:p>
          <w:p w14:paraId="06B81606"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p>
          <w:p w14:paraId="5F318D04" w14:textId="77777777" w:rsidR="00843F88" w:rsidRPr="007D42F3" w:rsidRDefault="00843F88" w:rsidP="003B5F4C">
            <w:pPr>
              <w:overflowPunct w:val="0"/>
              <w:autoSpaceDE w:val="0"/>
              <w:autoSpaceDN w:val="0"/>
              <w:adjustRightInd w:val="0"/>
              <w:spacing w:after="0" w:line="240" w:lineRule="auto"/>
              <w:jc w:val="left"/>
              <w:textAlignment w:val="baseline"/>
              <w:rPr>
                <w:rFonts w:eastAsia="Times New Roman" w:cs="Arial"/>
                <w:b/>
                <w:noProof/>
                <w:sz w:val="20"/>
                <w:szCs w:val="20"/>
              </w:rPr>
            </w:pPr>
          </w:p>
          <w:p w14:paraId="0AFBAC12" w14:textId="77777777" w:rsidR="00843F88" w:rsidRPr="008F3EB1" w:rsidRDefault="00843F88" w:rsidP="003B5F4C">
            <w:pPr>
              <w:overflowPunct w:val="0"/>
              <w:autoSpaceDE w:val="0"/>
              <w:autoSpaceDN w:val="0"/>
              <w:adjustRightInd w:val="0"/>
              <w:spacing w:after="0" w:line="240" w:lineRule="auto"/>
              <w:jc w:val="left"/>
              <w:textAlignment w:val="baseline"/>
              <w:rPr>
                <w:rFonts w:eastAsia="Times New Roman" w:cs="Arial"/>
                <w:i/>
                <w:noProof/>
                <w:sz w:val="20"/>
                <w:szCs w:val="20"/>
              </w:rPr>
            </w:pPr>
            <w:r w:rsidRPr="008F3EB1">
              <w:rPr>
                <w:rFonts w:eastAsia="Times New Roman" w:cs="Arial"/>
                <w:i/>
                <w:noProof/>
                <w:sz w:val="20"/>
                <w:szCs w:val="20"/>
              </w:rPr>
              <w:t>Not Applicable</w:t>
            </w:r>
          </w:p>
        </w:tc>
        <w:tc>
          <w:tcPr>
            <w:tcW w:w="7961" w:type="dxa"/>
            <w:gridSpan w:val="5"/>
          </w:tcPr>
          <w:p w14:paraId="7404EB4E"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r w:rsidRPr="007D42F3">
              <w:rPr>
                <w:rFonts w:eastAsia="Times New Roman" w:cs="Arial"/>
                <w:noProof/>
                <w:sz w:val="20"/>
                <w:szCs w:val="20"/>
              </w:rPr>
              <w:t xml:space="preserve">Box 7 is more than twice Box 2 because </w:t>
            </w:r>
            <w:r>
              <w:rPr>
                <w:rFonts w:eastAsia="Times New Roman" w:cs="Arial"/>
                <w:noProof/>
                <w:sz w:val="20"/>
                <w:szCs w:val="20"/>
              </w:rPr>
              <w:t>the authority held the following breakdown of reserves at the year end:</w:t>
            </w:r>
          </w:p>
          <w:p w14:paraId="7BC3F516"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279E409C"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7D215EA2" w14:textId="77777777" w:rsidR="00843F88"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p w14:paraId="04387560" w14:textId="77777777" w:rsidR="00843F88" w:rsidRPr="007D42F3" w:rsidRDefault="00843F88" w:rsidP="003B5F4C">
            <w:pPr>
              <w:overflowPunct w:val="0"/>
              <w:autoSpaceDE w:val="0"/>
              <w:autoSpaceDN w:val="0"/>
              <w:adjustRightInd w:val="0"/>
              <w:spacing w:after="0" w:line="240" w:lineRule="auto"/>
              <w:textAlignment w:val="baseline"/>
              <w:rPr>
                <w:rFonts w:eastAsia="Times New Roman" w:cs="Arial"/>
                <w:noProof/>
                <w:sz w:val="20"/>
                <w:szCs w:val="20"/>
              </w:rPr>
            </w:pPr>
          </w:p>
        </w:tc>
      </w:tr>
    </w:tbl>
    <w:p w14:paraId="42A52C79" w14:textId="77777777" w:rsidR="00843F88" w:rsidRDefault="00843F88" w:rsidP="00843F88"/>
    <w:p w14:paraId="55A7E729" w14:textId="77777777" w:rsidR="00843F88" w:rsidRDefault="00843F88" w:rsidP="00843F88"/>
    <w:p w14:paraId="255BFB7E" w14:textId="77777777" w:rsidR="00843F88" w:rsidRDefault="00843F88" w:rsidP="00843F88"/>
    <w:p w14:paraId="54CBE451" w14:textId="77777777" w:rsidR="00843F88" w:rsidRDefault="00843F88">
      <w:bookmarkStart w:id="0" w:name="_GoBack"/>
      <w:bookmarkEnd w:id="0"/>
    </w:p>
    <w:sectPr w:rsidR="00843F88" w:rsidSect="00BE1CD3">
      <w:pgSz w:w="11906" w:h="16838"/>
      <w:pgMar w:top="720" w:right="1440" w:bottom="720" w:left="1440"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26DB2"/>
    <w:multiLevelType w:val="hybridMultilevel"/>
    <w:tmpl w:val="3E744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88"/>
    <w:rsid w:val="00843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C880"/>
  <w15:chartTrackingRefBased/>
  <w15:docId w15:val="{726619DB-6B24-48DB-9251-4449DC4A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F88"/>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2018-05-31T06:42:00Z</dcterms:created>
  <dcterms:modified xsi:type="dcterms:W3CDTF">2018-05-31T06:43:00Z</dcterms:modified>
</cp:coreProperties>
</file>